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4812" w14:textId="55305531" w:rsidR="00920BC2" w:rsidRPr="005E5B22" w:rsidRDefault="00FC1257" w:rsidP="00B5772D">
      <w:pPr>
        <w:ind w:firstLine="708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>
        <w:rPr>
          <w:rFonts w:ascii="Calibri" w:hAnsi="Calibri" w:cs="Calibri"/>
          <w:color w:val="242424"/>
          <w:shd w:val="clear" w:color="auto" w:fill="FFFFFF"/>
        </w:rPr>
        <w:tab/>
      </w:r>
      <w:r w:rsidRPr="00FC1257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</w:p>
    <w:p w14:paraId="662F6D0F" w14:textId="3355A879" w:rsidR="0090783E" w:rsidRPr="005E5B22" w:rsidRDefault="0090783E" w:rsidP="000555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22">
        <w:rPr>
          <w:rFonts w:ascii="Times New Roman" w:hAnsi="Times New Roman" w:cs="Times New Roman"/>
          <w:sz w:val="24"/>
          <w:szCs w:val="24"/>
        </w:rPr>
        <w:t>Відповідно до вимог п. 8 глави 2 розділу XII Кодексу газотранспортної системи, затвердженого постановою НКРЕКП від 30.09.2015 та з урахуванням положень постанови НКРЕКП від 26.03.2022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Рівненська філія ТОВ «Газорозподільні мережі України» оприлюднює інформацію про точність прогнозування відборів/споживання, що не вимірюються щодобово, за січень-грудень 202</w:t>
      </w:r>
      <w:r w:rsidR="008E3F82">
        <w:rPr>
          <w:rFonts w:ascii="Times New Roman" w:hAnsi="Times New Roman" w:cs="Times New Roman"/>
          <w:sz w:val="24"/>
          <w:szCs w:val="24"/>
        </w:rPr>
        <w:t>5</w:t>
      </w:r>
      <w:r w:rsidRPr="005E5B22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6AED976C" w14:textId="5A7C6C30" w:rsidR="0090783E" w:rsidRPr="005E5B22" w:rsidRDefault="0090783E" w:rsidP="0005557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B22">
        <w:rPr>
          <w:rFonts w:ascii="Times New Roman" w:hAnsi="Times New Roman" w:cs="Times New Roman"/>
          <w:b/>
          <w:bCs/>
          <w:sz w:val="24"/>
          <w:szCs w:val="24"/>
        </w:rPr>
        <w:t xml:space="preserve">Відсоток відхилення значення фактично спожитого обсягу від другого оновлення прогнозованого обсягу відборів/споживання, що не вимірюються щодобово, становить </w:t>
      </w:r>
      <w:r w:rsidR="008E3F82">
        <w:rPr>
          <w:rFonts w:ascii="Times New Roman" w:hAnsi="Times New Roman" w:cs="Times New Roman"/>
          <w:b/>
          <w:bCs/>
          <w:sz w:val="24"/>
          <w:szCs w:val="24"/>
        </w:rPr>
        <w:t>1,2</w:t>
      </w:r>
      <w:r w:rsidRPr="005E5B22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</w:p>
    <w:p w14:paraId="37D7050B" w14:textId="77777777" w:rsidR="0090783E" w:rsidRPr="002C4C24" w:rsidRDefault="0090783E" w:rsidP="0090783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4EE945BF" w14:textId="77777777" w:rsidR="0090783E" w:rsidRPr="005E5B22" w:rsidRDefault="0090783E" w:rsidP="009078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5868D" w14:textId="77777777" w:rsidR="0090783E" w:rsidRPr="0090783E" w:rsidRDefault="0090783E" w:rsidP="009078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F0E44F8" w14:textId="77777777" w:rsidR="0090783E" w:rsidRPr="0090783E" w:rsidRDefault="0090783E" w:rsidP="009078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D931363" w14:textId="77777777" w:rsidR="00B5772D" w:rsidRPr="005A3451" w:rsidRDefault="00B5772D" w:rsidP="00B5772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5772D" w:rsidRPr="005A3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2D"/>
    <w:rsid w:val="0000347C"/>
    <w:rsid w:val="00055576"/>
    <w:rsid w:val="00285228"/>
    <w:rsid w:val="002C4C24"/>
    <w:rsid w:val="002E39CA"/>
    <w:rsid w:val="00546591"/>
    <w:rsid w:val="00596133"/>
    <w:rsid w:val="005A3451"/>
    <w:rsid w:val="005E5B22"/>
    <w:rsid w:val="00877F9F"/>
    <w:rsid w:val="008E3F82"/>
    <w:rsid w:val="0090783E"/>
    <w:rsid w:val="00920BC2"/>
    <w:rsid w:val="00A341A9"/>
    <w:rsid w:val="00B5772D"/>
    <w:rsid w:val="00B866D0"/>
    <w:rsid w:val="00EA58E3"/>
    <w:rsid w:val="00F349D6"/>
    <w:rsid w:val="00F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39CF"/>
  <w15:chartTrackingRefBased/>
  <w15:docId w15:val="{828A8335-30C3-401B-83F3-F5CCCD7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Усачук Любов Миколаївна</dc:creator>
  <cp:keywords/>
  <dc:description/>
  <cp:lastModifiedBy>Майорова Лілія Сергіївна</cp:lastModifiedBy>
  <cp:revision>2</cp:revision>
  <dcterms:created xsi:type="dcterms:W3CDTF">2026-02-18T06:11:00Z</dcterms:created>
  <dcterms:modified xsi:type="dcterms:W3CDTF">2026-02-18T06:11:00Z</dcterms:modified>
</cp:coreProperties>
</file>